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DF" w:rsidRDefault="003C5EDF" w:rsidP="003C5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3C5EDF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Pertanyaan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: </w:t>
      </w:r>
    </w:p>
    <w:p w:rsidR="00A6091B" w:rsidRPr="003C5EDF" w:rsidRDefault="00A6091B" w:rsidP="003C5E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:rsidR="003C5EDF" w:rsidRPr="003C5EDF" w:rsidRDefault="003C5EDF" w:rsidP="003C5EDF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1488C"/>
          <w:sz w:val="30"/>
          <w:szCs w:val="30"/>
          <w:lang w:val="en"/>
        </w:rPr>
      </w:pPr>
      <w:r w:rsidRPr="003C5EDF">
        <w:rPr>
          <w:rFonts w:ascii="Times New Roman" w:eastAsia="Times New Roman" w:hAnsi="Times New Roman" w:cs="Times New Roman"/>
          <w:color w:val="01488C"/>
          <w:sz w:val="30"/>
          <w:szCs w:val="30"/>
          <w:lang w:val="en"/>
        </w:rPr>
        <w:t xml:space="preserve">Status </w:t>
      </w:r>
      <w:proofErr w:type="spellStart"/>
      <w:r w:rsidRPr="003C5EDF">
        <w:rPr>
          <w:rFonts w:ascii="Times New Roman" w:eastAsia="Times New Roman" w:hAnsi="Times New Roman" w:cs="Times New Roman"/>
          <w:color w:val="01488C"/>
          <w:sz w:val="30"/>
          <w:szCs w:val="30"/>
          <w:lang w:val="en"/>
        </w:rPr>
        <w:t>Hukum</w:t>
      </w:r>
      <w:proofErr w:type="spellEnd"/>
      <w:r w:rsidRPr="003C5EDF">
        <w:rPr>
          <w:rFonts w:ascii="Times New Roman" w:eastAsia="Times New Roman" w:hAnsi="Times New Roman" w:cs="Times New Roman"/>
          <w:color w:val="01488C"/>
          <w:sz w:val="30"/>
          <w:szCs w:val="30"/>
          <w:lang w:val="en"/>
        </w:rPr>
        <w:t xml:space="preserve"> Tenaga </w:t>
      </w:r>
      <w:proofErr w:type="spellStart"/>
      <w:r w:rsidRPr="003C5EDF">
        <w:rPr>
          <w:rFonts w:ascii="Times New Roman" w:eastAsia="Times New Roman" w:hAnsi="Times New Roman" w:cs="Times New Roman"/>
          <w:color w:val="01488C"/>
          <w:sz w:val="30"/>
          <w:szCs w:val="30"/>
          <w:lang w:val="en"/>
        </w:rPr>
        <w:t>Kerja</w:t>
      </w:r>
      <w:proofErr w:type="spellEnd"/>
      <w:r w:rsidRPr="003C5EDF">
        <w:rPr>
          <w:rFonts w:ascii="Times New Roman" w:eastAsia="Times New Roman" w:hAnsi="Times New Roman" w:cs="Times New Roman"/>
          <w:color w:val="01488C"/>
          <w:sz w:val="30"/>
          <w:szCs w:val="30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color w:val="01488C"/>
          <w:sz w:val="30"/>
          <w:szCs w:val="30"/>
          <w:lang w:val="en"/>
        </w:rPr>
        <w:t>Tidak</w:t>
      </w:r>
      <w:proofErr w:type="spellEnd"/>
      <w:r w:rsidRPr="003C5EDF">
        <w:rPr>
          <w:rFonts w:ascii="Times New Roman" w:eastAsia="Times New Roman" w:hAnsi="Times New Roman" w:cs="Times New Roman"/>
          <w:color w:val="01488C"/>
          <w:sz w:val="30"/>
          <w:szCs w:val="30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color w:val="01488C"/>
          <w:sz w:val="30"/>
          <w:szCs w:val="30"/>
          <w:lang w:val="en"/>
        </w:rPr>
        <w:t>Tetap</w:t>
      </w:r>
      <w:proofErr w:type="spellEnd"/>
      <w:r w:rsidRPr="003C5EDF">
        <w:rPr>
          <w:rFonts w:ascii="Times New Roman" w:eastAsia="Times New Roman" w:hAnsi="Times New Roman" w:cs="Times New Roman"/>
          <w:color w:val="01488C"/>
          <w:sz w:val="30"/>
          <w:szCs w:val="30"/>
          <w:lang w:val="en"/>
        </w:rPr>
        <w:t xml:space="preserve"> di </w:t>
      </w:r>
      <w:proofErr w:type="spellStart"/>
      <w:r w:rsidRPr="003C5EDF">
        <w:rPr>
          <w:rFonts w:ascii="Times New Roman" w:eastAsia="Times New Roman" w:hAnsi="Times New Roman" w:cs="Times New Roman"/>
          <w:color w:val="01488C"/>
          <w:sz w:val="30"/>
          <w:szCs w:val="30"/>
          <w:lang w:val="en"/>
        </w:rPr>
        <w:t>Lingkungan</w:t>
      </w:r>
      <w:proofErr w:type="spellEnd"/>
      <w:r w:rsidRPr="003C5EDF">
        <w:rPr>
          <w:rFonts w:ascii="Times New Roman" w:eastAsia="Times New Roman" w:hAnsi="Times New Roman" w:cs="Times New Roman"/>
          <w:color w:val="01488C"/>
          <w:sz w:val="30"/>
          <w:szCs w:val="30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color w:val="01488C"/>
          <w:sz w:val="30"/>
          <w:szCs w:val="30"/>
          <w:lang w:val="en"/>
        </w:rPr>
        <w:t>Instansi</w:t>
      </w:r>
      <w:proofErr w:type="spellEnd"/>
      <w:r w:rsidRPr="003C5EDF">
        <w:rPr>
          <w:rFonts w:ascii="Times New Roman" w:eastAsia="Times New Roman" w:hAnsi="Times New Roman" w:cs="Times New Roman"/>
          <w:color w:val="01488C"/>
          <w:sz w:val="30"/>
          <w:szCs w:val="30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color w:val="01488C"/>
          <w:sz w:val="30"/>
          <w:szCs w:val="30"/>
          <w:lang w:val="en"/>
        </w:rPr>
        <w:t>Pemerintah</w:t>
      </w:r>
      <w:proofErr w:type="spellEnd"/>
    </w:p>
    <w:p w:rsidR="003C5EDF" w:rsidRDefault="003C5EDF" w:rsidP="00A6091B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"/>
        </w:rPr>
      </w:pP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Kepada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Yth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.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Pengelola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Hukumonline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Selamat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malam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Saya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ingin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bertanya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perihal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hubungan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kerja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.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Apabila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ada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seseorang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yang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melakukan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perjanjian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kerja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dengan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instansi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pemerintahan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melalui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Pejabat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Pembuat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Komitmen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atas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nama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Pimpinan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lembaga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tersebut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untuk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mengadakan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perjanjian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kerja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sebagai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tenaga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tidak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tetap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dalam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instansi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tersebut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.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Selanjutnya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yang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menjadi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pertanyaan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;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apakah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seseorang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tersebut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yang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sudah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mengadakan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perjanjian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kerja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langsung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dengan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instansi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di mana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ia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bekerja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saat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ini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tepat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disebut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sebagai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tenaga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outsourcing?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Dalam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hal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ini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seseorang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tersebut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langsung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kontrak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kerja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dengan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instansi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tersebut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tidak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melalui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perusahaan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(vendor).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Apakah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bisa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dijelaskan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dasar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hukum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bagi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pekerja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outsourcing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dengan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pegawai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tidak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tetap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dalam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instansi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pemerintahan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?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Demikian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pertanyaan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saya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semoga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bisa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mendapatkan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jawaban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dengan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baik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.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Terima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kasih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.</w:t>
      </w:r>
    </w:p>
    <w:p w:rsidR="003C5EDF" w:rsidRPr="003C5EDF" w:rsidRDefault="003C5EDF" w:rsidP="003C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"/>
        </w:rPr>
      </w:pPr>
    </w:p>
    <w:p w:rsidR="003C5EDF" w:rsidRPr="003C5EDF" w:rsidRDefault="003C5EDF" w:rsidP="003C5E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proofErr w:type="spellStart"/>
      <w:r w:rsidRPr="003C5EDF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Jawaban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:</w:t>
      </w:r>
    </w:p>
    <w:p w:rsidR="003C5EDF" w:rsidRPr="003C5EDF" w:rsidRDefault="003C5EDF" w:rsidP="003C5EDF">
      <w:pPr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"/>
        </w:rPr>
      </w:pP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Sehubungan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dengan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itu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terkait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dengan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permasalahan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yang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Saudara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sampaikan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hubungan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kerja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langsung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antara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instansi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Pemerintah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melalui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Pejabat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Pembuat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Komitment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(“PPK”)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dengan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seseorang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tenaga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kerja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(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istilah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Saudara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: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tenaga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tidak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tetap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) yang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hubungan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hukumnya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bukan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tidak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dilakukan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melalui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suatu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perusahaan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lain (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yakni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vendor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atau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service provider),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hemat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saya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tidak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dapat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dikatakan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sebagai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“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tenaga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outsourcing”. Karena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tenaga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tidak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tetap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dimaksud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dipekerjakan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langsung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dalam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suatu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hubungan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hukum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oleh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PPK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tanpa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melalui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“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perusahaan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outsourcing”.</w:t>
      </w:r>
    </w:p>
    <w:p w:rsidR="003C5EDF" w:rsidRPr="003C5EDF" w:rsidRDefault="003C5EDF" w:rsidP="003C5EDF">
      <w:pPr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"/>
        </w:rPr>
      </w:pP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Dasar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hukum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ketentuan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bagi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pekerja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outsourcing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dalam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UU No. 13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Tahun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2003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peraturan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pelaksananya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masing-masing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adalah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:</w:t>
      </w:r>
    </w:p>
    <w:p w:rsidR="003C5EDF" w:rsidRPr="003C5EDF" w:rsidRDefault="003C5EDF" w:rsidP="003C5EDF">
      <w:pPr>
        <w:spacing w:after="60" w:line="36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val="en"/>
        </w:rPr>
      </w:pPr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-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Pasal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65 jo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Pasal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64 UU No. 13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Tahun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2003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Bab II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Peraturan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Menteri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Tenaga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Kerja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Transmigrasi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RI No. 19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Tahun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2012 (“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Permenakertrans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No.19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Tahun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2012”)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untuk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pekerja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outsourcing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melalui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perjanjian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pemborongan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pekerjaan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;</w:t>
      </w:r>
    </w:p>
    <w:p w:rsidR="003C5EDF" w:rsidRPr="003C5EDF" w:rsidRDefault="003C5EDF" w:rsidP="003C5EDF">
      <w:pPr>
        <w:spacing w:after="60" w:line="360" w:lineRule="auto"/>
        <w:ind w:left="142" w:hanging="142"/>
        <w:jc w:val="both"/>
        <w:rPr>
          <w:rFonts w:ascii="Times New Roman" w:eastAsia="Times New Roman" w:hAnsi="Times New Roman" w:cs="Times New Roman"/>
          <w:sz w:val="21"/>
          <w:szCs w:val="21"/>
          <w:lang w:val="en"/>
        </w:rPr>
      </w:pPr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-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Pasal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66 jo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Pasal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64 UU No. 13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Tahun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2003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Bab III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Permenakertrans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No. 19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Tahun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2012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untuk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pekerja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outsourcing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melalui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perjanjian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penyerahan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sebagian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pelaksanaan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pekerjaan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.</w:t>
      </w:r>
    </w:p>
    <w:p w:rsidR="003C5EDF" w:rsidRPr="003C5EDF" w:rsidRDefault="003C5EDF" w:rsidP="003C5EDF">
      <w:pPr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"/>
        </w:rPr>
      </w:pP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Sedangkan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dasar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hukum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bagi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pegawai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tidak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tetap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(yang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Saudara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sebut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juga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sebagai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tenaga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tidak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tetap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)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tidak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ada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yang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secara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jelas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dan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tegas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mengaturnya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.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Artinya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hubungan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hukum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antara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seorang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tenaga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tidak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tetap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dengan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PPK (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atas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nama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instansi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/unit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kerja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)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tidak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jelas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landasan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hubungan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hukumnya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dan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dalam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hubungan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hukum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apa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para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pihak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-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sepakat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-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melakukan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pekerjaan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.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Mungkin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dilakukan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(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disepakati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) yang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klausulnya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diserahkan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kepada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para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pihak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(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antara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PPK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dengan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tenaga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tidak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tetap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). Dan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kesepakatan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itu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-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murni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-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hanya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secara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keperdataan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memperjanjian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syarat-syarat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melakukan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pekerjaan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hak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dan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kewajiban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serta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tata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tertib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bekerja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.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Jadi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layaknya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seperti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hubungan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hukum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melakukan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pekerjaan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atas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dasar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kemitraan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(partnership)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didasarkan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pada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asas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kebebasan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berkontrak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dalam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Pasal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1338 jo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Pasal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1320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Kitab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Undang-Undang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Hukum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Perdata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.</w:t>
      </w:r>
    </w:p>
    <w:p w:rsidR="003C5EDF" w:rsidRDefault="003C5EDF" w:rsidP="003C5EDF">
      <w:pPr>
        <w:spacing w:after="6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"/>
        </w:rPr>
      </w:pPr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 </w:t>
      </w:r>
    </w:p>
    <w:p w:rsidR="003C5EDF" w:rsidRPr="003C5EDF" w:rsidRDefault="003C5EDF" w:rsidP="003C5EDF">
      <w:pPr>
        <w:spacing w:after="6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"/>
        </w:rPr>
      </w:pP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Praktik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perjanjian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melakukan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pekerjaan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yang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dilakukan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antara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PPK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dengan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tenaga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tidak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tetap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dalam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suatu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instansi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akhir-akhir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ini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memang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muncul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berkembang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dengan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adanya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posting dana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untuk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suatu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jabatan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lepas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(job non-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organik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) yang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dialokasikan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pada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suatu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-item-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kegiatan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di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suatu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instansi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/unit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kerja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.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Seperti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contoh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biaya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pengemudi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(driver)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atau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biaya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tenaga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bantuan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(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semacam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“office boy”)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bentuk-bentuk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kegiatan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lainnya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.</w:t>
      </w:r>
    </w:p>
    <w:p w:rsidR="003C5EDF" w:rsidRDefault="003C5EDF" w:rsidP="003C5EDF">
      <w:pPr>
        <w:spacing w:after="6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"/>
        </w:rPr>
      </w:pPr>
    </w:p>
    <w:p w:rsidR="003C5EDF" w:rsidRPr="003C5EDF" w:rsidRDefault="003C5EDF" w:rsidP="008E48F1">
      <w:pPr>
        <w:spacing w:after="6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"/>
        </w:rPr>
      </w:pPr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lastRenderedPageBreak/>
        <w:t xml:space="preserve">Tenaga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tidak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tetap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tersebut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tidak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bisa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dikategorikan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pegawai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negeri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karena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tidak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memenuhi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syarat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sebagai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pegawai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negeri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khususnya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pegawai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negeri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sipil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(PNS)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sebagaimana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diatur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dalam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Pasal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1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angka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1 </w:t>
      </w:r>
      <w:hyperlink r:id="rId4" w:history="1"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 xml:space="preserve">UU No. 43 </w:t>
        </w:r>
        <w:proofErr w:type="spellStart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>Tahun</w:t>
        </w:r>
        <w:proofErr w:type="spellEnd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 xml:space="preserve"> 1999</w:t>
        </w:r>
      </w:hyperlink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tentang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Perubahan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Atas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hyperlink r:id="rId5" w:history="1"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 xml:space="preserve">UU No. 8 </w:t>
        </w:r>
        <w:proofErr w:type="spellStart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>Tahun</w:t>
        </w:r>
        <w:proofErr w:type="spellEnd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 xml:space="preserve"> 1974 </w:t>
        </w:r>
        <w:proofErr w:type="spellStart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>tentang</w:t>
        </w:r>
        <w:proofErr w:type="spellEnd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 xml:space="preserve"> </w:t>
        </w:r>
        <w:proofErr w:type="spellStart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>Pokok-pokok</w:t>
        </w:r>
        <w:proofErr w:type="spellEnd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 xml:space="preserve"> </w:t>
        </w:r>
        <w:proofErr w:type="spellStart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>Kepegawaian</w:t>
        </w:r>
        <w:proofErr w:type="spellEnd"/>
      </w:hyperlink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.</w:t>
      </w:r>
    </w:p>
    <w:p w:rsidR="003C5EDF" w:rsidRPr="003C5EDF" w:rsidRDefault="003C5EDF" w:rsidP="003C5EDF">
      <w:pPr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"/>
        </w:rPr>
      </w:pP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Demikian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juga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tidak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dapat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dikatakan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sebagai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pegawai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/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tenaga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honorer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seperti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dimaksud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hyperlink r:id="rId6" w:history="1"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 xml:space="preserve">PP No. 48 </w:t>
        </w:r>
        <w:proofErr w:type="spellStart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>Tahun</w:t>
        </w:r>
        <w:proofErr w:type="spellEnd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 xml:space="preserve"> 2005 </w:t>
        </w:r>
        <w:proofErr w:type="spellStart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>tentang</w:t>
        </w:r>
        <w:proofErr w:type="spellEnd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 xml:space="preserve"> </w:t>
        </w:r>
        <w:proofErr w:type="spellStart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>Pengangkatan</w:t>
        </w:r>
        <w:proofErr w:type="spellEnd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 xml:space="preserve"> Tenaga </w:t>
        </w:r>
        <w:proofErr w:type="spellStart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>Honorer</w:t>
        </w:r>
        <w:proofErr w:type="spellEnd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 xml:space="preserve"> </w:t>
        </w:r>
        <w:proofErr w:type="spellStart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>Menjadi</w:t>
        </w:r>
        <w:proofErr w:type="spellEnd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 xml:space="preserve"> </w:t>
        </w:r>
        <w:proofErr w:type="spellStart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>Calon</w:t>
        </w:r>
        <w:proofErr w:type="spellEnd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 xml:space="preserve"> </w:t>
        </w:r>
        <w:proofErr w:type="spellStart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>Pegawai</w:t>
        </w:r>
        <w:proofErr w:type="spellEnd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 xml:space="preserve"> </w:t>
        </w:r>
        <w:proofErr w:type="spellStart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>Negeri</w:t>
        </w:r>
        <w:proofErr w:type="spellEnd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 xml:space="preserve"> </w:t>
        </w:r>
        <w:proofErr w:type="spellStart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>Sipil</w:t>
        </w:r>
        <w:proofErr w:type="spellEnd"/>
      </w:hyperlink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sebagaimana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telah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diubah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terakhir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dengan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hyperlink r:id="rId7" w:history="1"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 xml:space="preserve">PP No. 56 </w:t>
        </w:r>
        <w:proofErr w:type="spellStart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>Tahun</w:t>
        </w:r>
        <w:proofErr w:type="spellEnd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 xml:space="preserve"> 2012</w:t>
        </w:r>
      </w:hyperlink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jo </w:t>
      </w:r>
      <w:hyperlink r:id="rId8" w:history="1"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 xml:space="preserve">PP No. 43 </w:t>
        </w:r>
        <w:proofErr w:type="spellStart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>Tahun</w:t>
        </w:r>
        <w:proofErr w:type="spellEnd"/>
        <w:r w:rsidRPr="003C5EDF">
          <w:rPr>
            <w:rFonts w:ascii="Times New Roman" w:eastAsia="Times New Roman" w:hAnsi="Times New Roman" w:cs="Times New Roman"/>
            <w:sz w:val="21"/>
            <w:szCs w:val="21"/>
            <w:lang w:val="en"/>
          </w:rPr>
          <w:t xml:space="preserve"> 2007</w:t>
        </w:r>
      </w:hyperlink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.</w:t>
      </w:r>
    </w:p>
    <w:p w:rsidR="003C5EDF" w:rsidRPr="003C5EDF" w:rsidRDefault="003C5EDF" w:rsidP="003C5EDF">
      <w:pPr>
        <w:spacing w:before="100" w:beforeAutospacing="1" w:after="6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"/>
        </w:rPr>
      </w:pP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Selanjutnya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tidak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dapat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disebut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sebagai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pegawai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swasta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karena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pemberi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kerjanya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adalah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instansi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pemerintah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(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baik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Pusat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maupun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Daerah)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melalui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PPK.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Sementara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berdasarkan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Pasal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1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angka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7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Peraturan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Presiden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No. 54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Tahun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2010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tentang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Pengadaan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Barang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/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Jasa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Pemerintah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bahwa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PPK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hanyalah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pejabat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yang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bertanggung-jawab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atas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pelaksanaan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pengadaan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barang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/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jasa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Pemerintah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.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Dengan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demikian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PPK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bukan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pejabat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yang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berwenang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tidak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mempunyai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kewenangan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untuk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mengangkat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PNS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atau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pegawai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/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tenaga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honorer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.</w:t>
      </w:r>
    </w:p>
    <w:p w:rsidR="003C5EDF" w:rsidRDefault="003C5EDF" w:rsidP="003C5EDF">
      <w:pPr>
        <w:spacing w:after="6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"/>
        </w:rPr>
      </w:pPr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 </w:t>
      </w:r>
    </w:p>
    <w:p w:rsidR="003C5EDF" w:rsidRPr="003C5EDF" w:rsidRDefault="003C5EDF" w:rsidP="003C5EDF">
      <w:pPr>
        <w:spacing w:after="6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"/>
        </w:rPr>
      </w:pP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Bagaimana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bentuk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perlindungan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tenaga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kerja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tersebut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apa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hak-hak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kewajiban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para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pihak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bagaimana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pula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jika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hubungan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kerjanya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diakhiri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oleh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salah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satu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pihak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apakah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ada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hak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kompensasi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(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ganti-rugi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),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adakah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ketentuan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cuti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waktu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kerja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waktu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istirahat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(“WKWI”)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atau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hak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lembur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sejauh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mana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perlindungan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jaminan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sosial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terhadap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diri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keluarganya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sampai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kepada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bagaimana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hak-hak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pasca-hubungan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kerja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dalam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hal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telah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menyimpang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dari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ketentuan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lamanya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hubungan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kerja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untuk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suatu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jenis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perjanjian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kerja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.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Jika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pertanyaan-pertanyaan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itu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timbul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menjadi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persoalan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dalam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hubungan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hukum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melakukan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pekerjaan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seperti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tersebut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dalam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hal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ini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antara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tenaga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tidak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tetap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tersebut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dengan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PPK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atau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siapapun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yang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bertindak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untuk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atas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nama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instansi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/unit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kerja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terkait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maka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tentu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hal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ini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berpotensi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menimbulkan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masalah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terutama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karena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adanya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kekosongan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hukum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.</w:t>
      </w:r>
    </w:p>
    <w:p w:rsidR="003C5EDF" w:rsidRDefault="003C5EDF" w:rsidP="003C5EDF">
      <w:pPr>
        <w:spacing w:after="6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"/>
        </w:rPr>
      </w:pPr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 </w:t>
      </w:r>
    </w:p>
    <w:p w:rsidR="003C5EDF" w:rsidRPr="003C5EDF" w:rsidRDefault="003C5EDF" w:rsidP="003C5EDF">
      <w:pPr>
        <w:spacing w:after="6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"/>
        </w:rPr>
      </w:pP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Walaupun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pada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waktu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yang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lalu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, </w:t>
      </w:r>
      <w:bookmarkStart w:id="0" w:name="_GoBack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UU No. 14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Tahun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1969 </w:t>
      </w:r>
      <w:bookmarkEnd w:id="0"/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tentang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Ketentuan-ketentuan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Pokok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Mengenai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Tenaga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Kerja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memungkinkan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hal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dimaksud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diatur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oleh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Menteri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Tenaga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Kerja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sesuai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kewenangannya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sehingga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lebih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mudah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menyelesaikan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persoalan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kekosongan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hukum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ketenagakerjaan</w:t>
      </w:r>
      <w:proofErr w:type="spellEnd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 xml:space="preserve"> yang </w:t>
      </w:r>
      <w:proofErr w:type="spellStart"/>
      <w:r w:rsidRPr="003C5EDF">
        <w:rPr>
          <w:rFonts w:ascii="Times New Roman" w:eastAsia="Times New Roman" w:hAnsi="Times New Roman" w:cs="Times New Roman"/>
          <w:b/>
          <w:bCs/>
          <w:sz w:val="21"/>
          <w:szCs w:val="21"/>
          <w:lang w:val="en"/>
        </w:rPr>
        <w:t>timbul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.</w:t>
      </w:r>
    </w:p>
    <w:p w:rsidR="003C5EDF" w:rsidRDefault="003C5EDF" w:rsidP="003C5EDF">
      <w:pPr>
        <w:spacing w:after="6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"/>
        </w:rPr>
      </w:pPr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 </w:t>
      </w:r>
    </w:p>
    <w:p w:rsidR="003C5EDF" w:rsidRPr="003C5EDF" w:rsidRDefault="003C5EDF" w:rsidP="003C5EDF">
      <w:pPr>
        <w:spacing w:after="6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n"/>
        </w:rPr>
      </w:pP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Demikian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jawaban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saya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,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semoga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penjelasan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seperti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itu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yang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Saudara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 xml:space="preserve"> </w:t>
      </w:r>
      <w:proofErr w:type="spellStart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maksudkan</w:t>
      </w:r>
      <w:proofErr w:type="spellEnd"/>
      <w:r w:rsidRPr="003C5EDF">
        <w:rPr>
          <w:rFonts w:ascii="Times New Roman" w:eastAsia="Times New Roman" w:hAnsi="Times New Roman" w:cs="Times New Roman"/>
          <w:sz w:val="21"/>
          <w:szCs w:val="21"/>
          <w:lang w:val="en"/>
        </w:rPr>
        <w:t>.</w:t>
      </w:r>
    </w:p>
    <w:p w:rsidR="005A33DF" w:rsidRPr="003C5EDF" w:rsidRDefault="00273BE4">
      <w:pPr>
        <w:rPr>
          <w:rFonts w:ascii="Times New Roman" w:eastAsia="Times New Roman" w:hAnsi="Times New Roman" w:cs="Times New Roman"/>
          <w:sz w:val="21"/>
          <w:szCs w:val="21"/>
          <w:lang w:val="en"/>
        </w:rPr>
      </w:pPr>
    </w:p>
    <w:sectPr w:rsidR="005A33DF" w:rsidRPr="003C5EDF" w:rsidSect="003C5EDF">
      <w:pgSz w:w="12242" w:h="19272" w:code="12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DF"/>
    <w:rsid w:val="00273BE4"/>
    <w:rsid w:val="003C5EDF"/>
    <w:rsid w:val="00414EEE"/>
    <w:rsid w:val="006C73AE"/>
    <w:rsid w:val="008E48F1"/>
    <w:rsid w:val="00A6091B"/>
    <w:rsid w:val="00C22761"/>
    <w:rsid w:val="00CD3E11"/>
    <w:rsid w:val="00CF5AA5"/>
    <w:rsid w:val="00F7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27DD"/>
  <w15:chartTrackingRefBased/>
  <w15:docId w15:val="{EF16E53C-339E-4221-9B11-ADF0ED4E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5ED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5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75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174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71952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7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88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021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2395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9286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4035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691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60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03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83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kumonline.com/pusatdata/detail/26918/node/591/pp-no-43-tahun-2007-perubahan-atas-peraturan-pemerintah-nomor-48-tahun-2005-tentang-pengangkatan-tenaga-honorer-menjadi-calon-pegawai-negeri-sip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kumonline.com/pusatdata/detail/lt4fd5b07faf016/node/56/pp-no-56-tahun-2012-perubahan-kedua-atas-peraturan-pemerintah-nomor-48-tahun-2005-tentang-pengangkatan-tenaga-honorer-menjadi-calon-pegawai-negeri-sip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kumonline.com/pusatdata/detail/24248/node/56/pp-no-48-tahun-2005-pengangkatan-tenaga-honorer-menjadi-pegawai-negeri-sipil" TargetMode="External"/><Relationship Id="rId5" Type="http://schemas.openxmlformats.org/officeDocument/2006/relationships/hyperlink" Target="http://www.hukumonline.com/pusatdata/detail/13634/node/56/uu-no-8-tahun-1974-pokok-pokok-kepegawaia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ukumonline.com/pusatdata/detail/17518/node/56/uu-no-43-tahun-1999-perubahan-atas-undang-undang-nomor-8-tahun-1974-tentang-pokok-pokok-kepegawaia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INTEL_AMD-PC</dc:creator>
  <cp:keywords/>
  <dc:description/>
  <cp:lastModifiedBy>INTEL_AMD-PC</cp:lastModifiedBy>
  <cp:revision>1</cp:revision>
  <dcterms:created xsi:type="dcterms:W3CDTF">2017-01-16T02:27:00Z</dcterms:created>
  <dcterms:modified xsi:type="dcterms:W3CDTF">2017-01-16T03:18:00Z</dcterms:modified>
</cp:coreProperties>
</file>